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2B2C30">
        <w:rPr>
          <w:rFonts w:ascii="Arial" w:hAnsi="Arial" w:cs="Arial"/>
          <w:b/>
          <w:sz w:val="24"/>
          <w:szCs w:val="24"/>
        </w:rPr>
        <w:t>octubre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C85518" w:rsidRDefault="00C85518" w:rsidP="00556671">
      <w:pPr>
        <w:jc w:val="center"/>
        <w:rPr>
          <w:rFonts w:ascii="Arial" w:hAnsi="Arial" w:cs="Arial"/>
          <w:b/>
          <w:sz w:val="24"/>
          <w:szCs w:val="24"/>
        </w:rPr>
        <w:sectPr w:rsidR="00C85518" w:rsidSect="000667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Pr="000E4374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Pr="000E4374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Pr="00175240" w:rsidRDefault="00BC378D">
          <w:pPr>
            <w:pStyle w:val="TtulodeTDC"/>
            <w:rPr>
              <w:rFonts w:ascii="Arial" w:hAnsi="Arial" w:cs="Arial"/>
              <w:sz w:val="24"/>
              <w:szCs w:val="24"/>
              <w:lang w:val="es-ES"/>
            </w:rPr>
          </w:pPr>
          <w:r w:rsidRPr="00175240">
            <w:rPr>
              <w:rFonts w:ascii="Arial" w:hAnsi="Arial" w:cs="Arial"/>
              <w:sz w:val="24"/>
              <w:szCs w:val="24"/>
              <w:lang w:val="es-ES"/>
            </w:rPr>
            <w:t>Contenido</w:t>
          </w:r>
        </w:p>
        <w:p w:rsidR="000E4374" w:rsidRPr="00175240" w:rsidRDefault="000E4374" w:rsidP="000E4374">
          <w:pPr>
            <w:rPr>
              <w:rFonts w:ascii="Arial" w:hAnsi="Arial" w:cs="Arial"/>
              <w:sz w:val="24"/>
              <w:szCs w:val="24"/>
              <w:lang w:val="es-ES" w:eastAsia="es-GT"/>
            </w:rPr>
          </w:pPr>
        </w:p>
        <w:p w:rsidR="00175240" w:rsidRPr="00175240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r w:rsidRPr="00175240">
            <w:rPr>
              <w:rFonts w:ascii="Arial" w:hAnsi="Arial" w:cs="Arial"/>
              <w:sz w:val="24"/>
              <w:szCs w:val="24"/>
            </w:rPr>
            <w:fldChar w:fldCharType="begin"/>
          </w:r>
          <w:r w:rsidRPr="0017524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75240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8450697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a)</w:t>
            </w:r>
            <w:r w:rsidR="00175240" w:rsidRPr="00175240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ANTECEDENTES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_Toc118450697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94FC4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698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b)</w:t>
            </w:r>
            <w:r w:rsidR="00175240" w:rsidRPr="00175240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ELABORACIÓN DEL INFORME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_Toc118450698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699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="00175240" w:rsidRPr="00175240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 de la recopilación de los datos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_Toc118450699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700" w:history="1">
            <w:r w:rsidR="00175240" w:rsidRPr="00175240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GT"/>
              </w:rPr>
              <w:t>Cuadro 1: Formato de registro de los beneficiarios del servicio postal, con enfoque de pertenencia Sociolingüística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_Toc118450700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701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Imagen 1: Formato de la boleta digital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_Toc118450701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702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</w:t>
            </w:r>
            <w:r w:rsidR="00175240" w:rsidRPr="00175240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Análisis de datos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_Toc118450702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703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1: Beneficiarios del servicio postal según pertenencia, Octubre 2022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_Toc118450703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704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2: Pueblo al que pertenecen los usuarios del servicio Postal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_Toc118450704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705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(octubre del 2022)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_Toc118450705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5240" w:rsidRPr="00175240" w:rsidRDefault="00194FC4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18450706" w:history="1">
            <w:r w:rsidR="00175240" w:rsidRPr="00175240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3: Comunidad lingüística de los beneficiarios del servicio postal del mes de octubre del 2022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_Toc118450706 \h </w:instrTex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75240" w:rsidRPr="0017524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378D" w:rsidRPr="00175240" w:rsidRDefault="00BC378D">
          <w:pPr>
            <w:rPr>
              <w:rFonts w:ascii="Arial" w:hAnsi="Arial" w:cs="Arial"/>
              <w:sz w:val="24"/>
              <w:szCs w:val="24"/>
            </w:rPr>
          </w:pPr>
          <w:r w:rsidRPr="00175240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C85518" w:rsidRDefault="00C85518" w:rsidP="00D67155">
      <w:pPr>
        <w:rPr>
          <w:rFonts w:ascii="Arial" w:hAnsi="Arial" w:cs="Arial"/>
          <w:sz w:val="24"/>
          <w:szCs w:val="24"/>
        </w:rPr>
        <w:sectPr w:rsidR="00C85518" w:rsidSect="00066747"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118450697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mismos”, por lo que se debe hacer notar que dichas entidades e instituciones están obligadas a elaborar esos reportes desde el año 2003 cuando la ley entró en vigencia</w:t>
      </w:r>
      <w:r w:rsidR="00330C1F">
        <w:rPr>
          <w:rFonts w:ascii="Arial" w:hAnsi="Arial" w:cs="Arial"/>
          <w:sz w:val="24"/>
          <w:szCs w:val="24"/>
        </w:rPr>
        <w:t>.</w:t>
      </w:r>
      <w:r w:rsidRPr="009F5815">
        <w:rPr>
          <w:rFonts w:ascii="Arial" w:hAnsi="Arial" w:cs="Arial"/>
          <w:sz w:val="24"/>
          <w:szCs w:val="24"/>
        </w:rPr>
        <w:t xml:space="preserve">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118450698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0E4374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2" w:name="_Toc118450699"/>
      <w:r w:rsidRPr="000E4374">
        <w:rPr>
          <w:rFonts w:ascii="Arial" w:hAnsi="Arial" w:cs="Arial"/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pPr w:leftFromText="141" w:rightFromText="141" w:vertAnchor="text" w:horzAnchor="page" w:tblpX="2086" w:tblpY="222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FD796C" w:rsidRPr="003964E4" w:rsidTr="00FD796C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96C" w:rsidRPr="00552E24" w:rsidRDefault="00FD796C" w:rsidP="00FD796C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118450700"/>
            <w:r w:rsidRPr="002E6496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6B2A673F" wp14:editId="54C7D1AC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FD796C" w:rsidRPr="003964E4" w:rsidRDefault="00FD796C" w:rsidP="00FD796C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FD796C" w:rsidRPr="003964E4" w:rsidTr="00FD796C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96C" w:rsidRPr="003964E4" w:rsidRDefault="00FD796C" w:rsidP="00FD7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796C" w:rsidRPr="00194FC4" w:rsidRDefault="00194FC4" w:rsidP="00194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tercer sema</w:t>
      </w:r>
      <w:bookmarkStart w:id="4" w:name="_GoBack"/>
      <w:bookmarkEnd w:id="4"/>
      <w:r w:rsidR="00FD796C" w:rsidRPr="00194FC4">
        <w:rPr>
          <w:rFonts w:ascii="Arial" w:hAnsi="Arial" w:cs="Arial"/>
          <w:sz w:val="24"/>
          <w:szCs w:val="24"/>
        </w:rPr>
        <w:t>na del mes de septiembre del 2022 se implement</w:t>
      </w:r>
      <w:r w:rsidR="002B2C30" w:rsidRPr="00194FC4">
        <w:rPr>
          <w:rFonts w:ascii="Arial" w:hAnsi="Arial" w:cs="Arial"/>
          <w:sz w:val="24"/>
          <w:szCs w:val="24"/>
        </w:rPr>
        <w:t>ó</w:t>
      </w:r>
      <w:r w:rsidR="00FD796C" w:rsidRPr="00194FC4">
        <w:rPr>
          <w:rFonts w:ascii="Arial" w:hAnsi="Arial" w:cs="Arial"/>
          <w:sz w:val="24"/>
          <w:szCs w:val="24"/>
        </w:rPr>
        <w:t xml:space="preserve"> una encuesta digital, la cual tiene como objetivo medir la valoración que tiene el usuario del servicio postal, </w:t>
      </w:r>
      <w:r w:rsidR="00BB0345" w:rsidRPr="00194FC4">
        <w:rPr>
          <w:rFonts w:ascii="Arial" w:hAnsi="Arial" w:cs="Arial"/>
          <w:sz w:val="24"/>
          <w:szCs w:val="24"/>
        </w:rPr>
        <w:t>así mismo dich</w:t>
      </w:r>
      <w:r w:rsidR="00175240" w:rsidRPr="00194FC4">
        <w:rPr>
          <w:rFonts w:ascii="Arial" w:hAnsi="Arial" w:cs="Arial"/>
          <w:sz w:val="24"/>
          <w:szCs w:val="24"/>
        </w:rPr>
        <w:t>o</w:t>
      </w:r>
      <w:r w:rsidR="00BB0345" w:rsidRPr="00194FC4">
        <w:rPr>
          <w:rFonts w:ascii="Arial" w:hAnsi="Arial" w:cs="Arial"/>
          <w:sz w:val="24"/>
          <w:szCs w:val="24"/>
        </w:rPr>
        <w:t xml:space="preserve"> </w:t>
      </w:r>
      <w:r w:rsidR="002B2C30" w:rsidRPr="00194FC4">
        <w:rPr>
          <w:rFonts w:ascii="Arial" w:hAnsi="Arial" w:cs="Arial"/>
          <w:sz w:val="24"/>
          <w:szCs w:val="24"/>
        </w:rPr>
        <w:t>instrumento</w:t>
      </w:r>
      <w:r w:rsidR="00BB0345" w:rsidRPr="00194FC4">
        <w:rPr>
          <w:rFonts w:ascii="Arial" w:hAnsi="Arial" w:cs="Arial"/>
          <w:sz w:val="24"/>
          <w:szCs w:val="24"/>
        </w:rPr>
        <w:t xml:space="preserve"> </w:t>
      </w:r>
      <w:r w:rsidR="00FD796C" w:rsidRPr="00194FC4">
        <w:rPr>
          <w:rFonts w:ascii="Arial" w:hAnsi="Arial" w:cs="Arial"/>
          <w:sz w:val="24"/>
          <w:szCs w:val="24"/>
        </w:rPr>
        <w:t xml:space="preserve">recopila información de la pertenencia sociolingüística de </w:t>
      </w:r>
      <w:r w:rsidR="00175240" w:rsidRPr="00194FC4">
        <w:rPr>
          <w:rFonts w:ascii="Arial" w:hAnsi="Arial" w:cs="Arial"/>
          <w:sz w:val="24"/>
          <w:szCs w:val="24"/>
        </w:rPr>
        <w:t>los</w:t>
      </w:r>
      <w:r w:rsidR="00FD796C" w:rsidRPr="00194FC4">
        <w:rPr>
          <w:rFonts w:ascii="Arial" w:hAnsi="Arial" w:cs="Arial"/>
          <w:sz w:val="24"/>
          <w:szCs w:val="24"/>
        </w:rPr>
        <w:t xml:space="preserve"> usuarios</w:t>
      </w:r>
      <w:r w:rsidR="00175240" w:rsidRPr="00194FC4">
        <w:rPr>
          <w:rFonts w:ascii="Arial" w:hAnsi="Arial" w:cs="Arial"/>
          <w:sz w:val="24"/>
          <w:szCs w:val="24"/>
        </w:rPr>
        <w:t xml:space="preserve"> del servicio postal</w:t>
      </w:r>
      <w:r w:rsidR="00BB0345" w:rsidRPr="00194FC4">
        <w:rPr>
          <w:rFonts w:ascii="Arial" w:hAnsi="Arial" w:cs="Arial"/>
          <w:sz w:val="24"/>
          <w:szCs w:val="24"/>
        </w:rPr>
        <w:t>, a continuación se presenta el segmento de la boleta donde se registra información de la pertenencia sociolingüística</w:t>
      </w:r>
      <w:r w:rsidR="00FD796C" w:rsidRPr="00194FC4">
        <w:rPr>
          <w:rFonts w:ascii="Arial" w:hAnsi="Arial" w:cs="Arial"/>
          <w:sz w:val="24"/>
          <w:szCs w:val="24"/>
        </w:rPr>
        <w:t>.</w:t>
      </w: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Pr="00DA068F" w:rsidRDefault="00B07E4F" w:rsidP="00DA068F">
      <w:pPr>
        <w:pStyle w:val="Ttulo2"/>
        <w:ind w:left="709"/>
        <w:rPr>
          <w:color w:val="auto"/>
        </w:rPr>
      </w:pPr>
      <w:bookmarkStart w:id="5" w:name="_Toc118450701"/>
      <w:r w:rsidRPr="00DA068F">
        <w:rPr>
          <w:color w:val="auto"/>
        </w:rPr>
        <w:t>Imagen 1: Formato de la boleta digital</w:t>
      </w:r>
      <w:bookmarkEnd w:id="5"/>
      <w:r w:rsidRPr="00DA068F">
        <w:rPr>
          <w:color w:val="auto"/>
        </w:rPr>
        <w:t xml:space="preserve"> </w:t>
      </w:r>
    </w:p>
    <w:p w:rsidR="00DA19CE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9038885" wp14:editId="57992A3C">
            <wp:extent cx="5810250" cy="2152650"/>
            <wp:effectExtent l="19050" t="19050" r="1905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r="1250" b="6991"/>
                    <a:stretch/>
                  </pic:blipFill>
                  <pic:spPr bwMode="auto">
                    <a:xfrm>
                      <a:off x="0" y="0"/>
                      <a:ext cx="5835180" cy="216188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  <a:alpha val="98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9CE" w:rsidRDefault="00BB0345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11FBACC" wp14:editId="694E0A02">
            <wp:simplePos x="0" y="0"/>
            <wp:positionH relativeFrom="page">
              <wp:posOffset>2981325</wp:posOffset>
            </wp:positionH>
            <wp:positionV relativeFrom="paragraph">
              <wp:posOffset>168910</wp:posOffset>
            </wp:positionV>
            <wp:extent cx="2724150" cy="2019300"/>
            <wp:effectExtent l="19050" t="19050" r="19050" b="190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  <a:alpha val="78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19CE" w:rsidRDefault="00DA19C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796C" w:rsidRDefault="00FD796C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8A3959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720583" cy="5124450"/>
            <wp:effectExtent l="19050" t="19050" r="13970" b="190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5155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  <a:alpha val="8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7E4F" w:rsidRDefault="00B07E4F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959" w:rsidRDefault="008A3959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6" w:name="_Toc118450702"/>
      <w:r w:rsidRPr="00330C1F">
        <w:rPr>
          <w:rFonts w:ascii="Arial" w:hAnsi="Arial" w:cs="Arial"/>
          <w:color w:val="auto"/>
        </w:rPr>
        <w:lastRenderedPageBreak/>
        <w:t>Análisis de datos</w:t>
      </w:r>
      <w:bookmarkEnd w:id="6"/>
      <w:r w:rsidRPr="00330C1F">
        <w:rPr>
          <w:rFonts w:ascii="Arial" w:hAnsi="Arial" w:cs="Arial"/>
          <w:color w:val="auto"/>
        </w:rPr>
        <w:t xml:space="preserve"> </w:t>
      </w:r>
    </w:p>
    <w:p w:rsidR="00FD796C" w:rsidRPr="00FD796C" w:rsidRDefault="00FD796C" w:rsidP="00FD796C"/>
    <w:p w:rsidR="00737148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30C1F">
        <w:rPr>
          <w:rFonts w:ascii="Arial" w:hAnsi="Arial" w:cs="Arial"/>
          <w:sz w:val="24"/>
          <w:szCs w:val="24"/>
        </w:rPr>
        <w:t>c</w:t>
      </w:r>
      <w:r w:rsidRPr="003964E4">
        <w:rPr>
          <w:rFonts w:ascii="Arial" w:hAnsi="Arial" w:cs="Arial"/>
          <w:sz w:val="24"/>
          <w:szCs w:val="24"/>
        </w:rPr>
        <w:t>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2B2C30">
        <w:rPr>
          <w:rFonts w:ascii="Arial" w:hAnsi="Arial" w:cs="Arial"/>
          <w:sz w:val="24"/>
          <w:szCs w:val="24"/>
        </w:rPr>
        <w:t>octubre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</w:t>
      </w:r>
    </w:p>
    <w:p w:rsidR="00DD7DE7" w:rsidRPr="00D00F54" w:rsidRDefault="00DD7DE7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964E4">
        <w:rPr>
          <w:rFonts w:ascii="Arial" w:hAnsi="Arial" w:cs="Arial"/>
          <w:sz w:val="24"/>
          <w:szCs w:val="24"/>
        </w:rPr>
        <w:t xml:space="preserve">En total se entregaron </w:t>
      </w:r>
      <w:r w:rsidR="006B59B0">
        <w:rPr>
          <w:rFonts w:ascii="Arial" w:hAnsi="Arial" w:cs="Arial"/>
          <w:sz w:val="24"/>
          <w:szCs w:val="24"/>
        </w:rPr>
        <w:t>2</w:t>
      </w:r>
      <w:r w:rsidR="00FD796C">
        <w:rPr>
          <w:rFonts w:ascii="Arial" w:hAnsi="Arial" w:cs="Arial"/>
          <w:sz w:val="24"/>
          <w:szCs w:val="24"/>
        </w:rPr>
        <w:t>5</w:t>
      </w:r>
      <w:r w:rsidR="002B3FA4">
        <w:rPr>
          <w:rFonts w:ascii="Arial" w:hAnsi="Arial" w:cs="Arial"/>
          <w:sz w:val="24"/>
          <w:szCs w:val="24"/>
        </w:rPr>
        <w:t>,</w:t>
      </w:r>
      <w:r w:rsidR="00FD796C">
        <w:rPr>
          <w:rFonts w:ascii="Arial" w:hAnsi="Arial" w:cs="Arial"/>
          <w:sz w:val="24"/>
          <w:szCs w:val="24"/>
        </w:rPr>
        <w:t>1</w:t>
      </w:r>
      <w:r w:rsidR="002B2C30">
        <w:rPr>
          <w:rFonts w:ascii="Arial" w:hAnsi="Arial" w:cs="Arial"/>
          <w:sz w:val="24"/>
          <w:szCs w:val="24"/>
        </w:rPr>
        <w:t>69</w:t>
      </w:r>
      <w:r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07137E">
        <w:rPr>
          <w:rFonts w:ascii="Arial" w:hAnsi="Arial" w:cs="Arial"/>
          <w:sz w:val="24"/>
          <w:szCs w:val="24"/>
        </w:rPr>
        <w:t>7</w:t>
      </w:r>
      <w:r w:rsidR="002B2C30">
        <w:rPr>
          <w:rFonts w:ascii="Arial" w:hAnsi="Arial" w:cs="Arial"/>
          <w:sz w:val="24"/>
          <w:szCs w:val="24"/>
        </w:rPr>
        <w:t>6.2</w:t>
      </w:r>
      <w:r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1D7379">
        <w:rPr>
          <w:rFonts w:ascii="Arial" w:hAnsi="Arial" w:cs="Arial"/>
          <w:sz w:val="24"/>
          <w:szCs w:val="24"/>
        </w:rPr>
        <w:t>2</w:t>
      </w:r>
      <w:r w:rsidR="002B2C30">
        <w:rPr>
          <w:rFonts w:ascii="Arial" w:hAnsi="Arial" w:cs="Arial"/>
          <w:sz w:val="24"/>
          <w:szCs w:val="24"/>
        </w:rPr>
        <w:t>3.8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r w:rsidRPr="003964E4">
        <w:rPr>
          <w:rFonts w:ascii="Arial" w:hAnsi="Arial" w:cs="Arial"/>
          <w:sz w:val="24"/>
          <w:szCs w:val="24"/>
        </w:rPr>
        <w:t xml:space="preserve"> </w:t>
      </w:r>
      <w:r w:rsidR="008B5E16">
        <w:rPr>
          <w:rFonts w:ascii="Arial" w:hAnsi="Arial" w:cs="Arial"/>
          <w:sz w:val="24"/>
          <w:szCs w:val="24"/>
        </w:rPr>
        <w:t>5</w:t>
      </w:r>
      <w:r w:rsidR="002B2C30">
        <w:rPr>
          <w:rFonts w:ascii="Arial" w:hAnsi="Arial" w:cs="Arial"/>
          <w:sz w:val="24"/>
          <w:szCs w:val="24"/>
        </w:rPr>
        <w:t>8.6</w:t>
      </w:r>
      <w:r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8B5E16">
        <w:rPr>
          <w:rFonts w:ascii="Arial" w:hAnsi="Arial" w:cs="Arial"/>
          <w:sz w:val="24"/>
          <w:szCs w:val="24"/>
        </w:rPr>
        <w:t>4</w:t>
      </w:r>
      <w:r w:rsidR="002B2C30">
        <w:rPr>
          <w:rFonts w:ascii="Arial" w:hAnsi="Arial" w:cs="Arial"/>
          <w:sz w:val="24"/>
          <w:szCs w:val="24"/>
        </w:rPr>
        <w:t>1.4</w:t>
      </w:r>
      <w:r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2B2C30">
        <w:rPr>
          <w:rFonts w:ascii="Arial" w:hAnsi="Arial" w:cs="Arial"/>
          <w:sz w:val="24"/>
          <w:szCs w:val="24"/>
        </w:rPr>
        <w:t>2.57</w:t>
      </w:r>
      <w:r w:rsidR="00F84762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</w:t>
      </w:r>
      <w:r w:rsidR="008B5E16">
        <w:rPr>
          <w:rFonts w:ascii="Arial" w:hAnsi="Arial" w:cs="Arial"/>
          <w:sz w:val="24"/>
          <w:szCs w:val="24"/>
        </w:rPr>
        <w:t>5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>Garífuna</w:t>
      </w:r>
      <w:r w:rsidR="0007137E">
        <w:rPr>
          <w:rFonts w:ascii="Arial" w:hAnsi="Arial" w:cs="Arial"/>
          <w:sz w:val="24"/>
          <w:szCs w:val="24"/>
        </w:rPr>
        <w:t>,</w:t>
      </w:r>
      <w:r w:rsidR="00401DD2" w:rsidRPr="003964E4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 el </w:t>
      </w:r>
      <w:r w:rsidR="008B5E16">
        <w:rPr>
          <w:rFonts w:ascii="Arial" w:hAnsi="Arial" w:cs="Arial"/>
          <w:sz w:val="24"/>
          <w:szCs w:val="24"/>
        </w:rPr>
        <w:t>0.</w:t>
      </w:r>
      <w:r w:rsidR="002B2C30">
        <w:rPr>
          <w:rFonts w:ascii="Arial" w:hAnsi="Arial" w:cs="Arial"/>
          <w:sz w:val="24"/>
          <w:szCs w:val="24"/>
        </w:rPr>
        <w:t>7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2B2C30">
        <w:rPr>
          <w:rFonts w:ascii="Arial" w:hAnsi="Arial" w:cs="Arial"/>
          <w:sz w:val="24"/>
          <w:szCs w:val="24"/>
        </w:rPr>
        <w:t>6.58</w:t>
      </w:r>
      <w:r w:rsidR="00DD7DE7" w:rsidRPr="003964E4">
        <w:rPr>
          <w:rFonts w:ascii="Arial" w:hAnsi="Arial" w:cs="Arial"/>
          <w:sz w:val="24"/>
          <w:szCs w:val="24"/>
        </w:rPr>
        <w:t>% a la población ladina</w:t>
      </w:r>
      <w:r w:rsidR="002B2C30">
        <w:rPr>
          <w:rFonts w:ascii="Arial" w:hAnsi="Arial" w:cs="Arial"/>
          <w:sz w:val="24"/>
          <w:szCs w:val="24"/>
        </w:rPr>
        <w:t>;</w:t>
      </w:r>
      <w:r w:rsidR="00DD7DE7" w:rsidRPr="003964E4">
        <w:rPr>
          <w:rFonts w:ascii="Arial" w:hAnsi="Arial" w:cs="Arial"/>
          <w:sz w:val="24"/>
          <w:szCs w:val="24"/>
        </w:rPr>
        <w:t xml:space="preserve">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</w:t>
      </w:r>
      <w:r w:rsidR="0054194A">
        <w:rPr>
          <w:rFonts w:ascii="Arial" w:hAnsi="Arial" w:cs="Arial"/>
          <w:sz w:val="24"/>
          <w:szCs w:val="24"/>
        </w:rPr>
        <w:t xml:space="preserve"> la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1670EE">
        <w:rPr>
          <w:rFonts w:ascii="Arial" w:hAnsi="Arial" w:cs="Arial"/>
          <w:sz w:val="24"/>
          <w:szCs w:val="24"/>
        </w:rPr>
        <w:t xml:space="preserve">Quetzaltenango, </w:t>
      </w:r>
      <w:r w:rsidR="008B5E16">
        <w:rPr>
          <w:rFonts w:ascii="Arial" w:hAnsi="Arial" w:cs="Arial"/>
          <w:sz w:val="24"/>
          <w:szCs w:val="24"/>
        </w:rPr>
        <w:t xml:space="preserve">Cobán, </w:t>
      </w:r>
      <w:r w:rsidR="00F75CA4">
        <w:rPr>
          <w:rFonts w:ascii="Arial" w:hAnsi="Arial" w:cs="Arial"/>
          <w:sz w:val="24"/>
          <w:szCs w:val="24"/>
        </w:rPr>
        <w:t>Chimaltenango y Quiché</w:t>
      </w:r>
      <w:r w:rsidR="008B5E16">
        <w:rPr>
          <w:rFonts w:ascii="Arial" w:hAnsi="Arial" w:cs="Arial"/>
          <w:sz w:val="24"/>
          <w:szCs w:val="24"/>
        </w:rPr>
        <w:t>; el detalle de los beneficiados por el servicio postal se presenta en el cuadro 2.</w:t>
      </w:r>
    </w:p>
    <w:p w:rsidR="000E4374" w:rsidRDefault="000E4374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GridTable4Accent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07137E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07137E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07137E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07137E" w:rsidRDefault="00D31DF4" w:rsidP="001752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 xml:space="preserve">Población beneficiada en el mes de </w:t>
            </w:r>
            <w:r w:rsidR="00175240">
              <w:rPr>
                <w:rFonts w:ascii="Arial" w:hAnsi="Arial" w:cs="Arial"/>
                <w:bCs w:val="0"/>
                <w:color w:val="000000"/>
              </w:rPr>
              <w:t>octubre</w:t>
            </w:r>
          </w:p>
        </w:tc>
      </w:tr>
      <w:tr w:rsidR="00D03BDC" w:rsidRPr="0007137E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Pr="0007137E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Pr="0007137E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2B2C30" w:rsidRPr="0007137E" w:rsidTr="00737148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center"/>
          </w:tcPr>
          <w:p w:rsidR="002B2C30" w:rsidRDefault="002B2C30" w:rsidP="002B2C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2968</w:t>
            </w:r>
          </w:p>
        </w:tc>
        <w:tc>
          <w:tcPr>
            <w:tcW w:w="3040" w:type="dxa"/>
            <w:vAlign w:val="center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Agencia Central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1,293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16,834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18,180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16245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Santos </w:t>
            </w:r>
            <w:proofErr w:type="spellStart"/>
            <w:r>
              <w:rPr>
                <w:rFonts w:ascii="Arial" w:hAnsi="Arial" w:cs="Arial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16246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Pedro la Laguna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16247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Salamá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16248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Jutiapa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16250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16251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Quetzaltenango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1,193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16253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Antigua Guatemala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16255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16256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Huehuetenango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16258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16259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16260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16261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16262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Quiché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16268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16271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Santa Lucía </w:t>
            </w:r>
            <w:proofErr w:type="spellStart"/>
            <w:r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16272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Cuilapa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16277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Barberena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16283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 Mateo </w:t>
            </w:r>
            <w:proofErr w:type="spellStart"/>
            <w:r>
              <w:rPr>
                <w:rFonts w:ascii="Arial" w:hAnsi="Arial" w:cs="Arial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16286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16287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Cobán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16288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2B2C30" w:rsidRPr="0007137E" w:rsidTr="00737148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16289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Morales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16293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16294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17434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Juan Sacatepéquez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17435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Santa Rosa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17436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17677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Unión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17678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Usumatlán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17701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Concepción las Minas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17708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Río Dulce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17786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San José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17787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 José la Máquina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18420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Escuintla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18425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2B2C30" w:rsidRPr="0007137E" w:rsidTr="007371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18428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Felipe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2B2C30" w:rsidRPr="0007137E" w:rsidTr="00737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2B2C30" w:rsidRDefault="002B2C30" w:rsidP="002B2C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18764</w:t>
            </w:r>
          </w:p>
        </w:tc>
        <w:tc>
          <w:tcPr>
            <w:tcW w:w="3040" w:type="dxa"/>
            <w:vAlign w:val="bottom"/>
          </w:tcPr>
          <w:p w:rsidR="002B2C30" w:rsidRDefault="002B2C30" w:rsidP="002B2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Francisco, Petén</w:t>
            </w:r>
          </w:p>
        </w:tc>
        <w:tc>
          <w:tcPr>
            <w:tcW w:w="10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20" w:type="dxa"/>
            <w:noWrap/>
            <w:vAlign w:val="center"/>
          </w:tcPr>
          <w:p w:rsidR="002B2C30" w:rsidRDefault="002B2C30" w:rsidP="002B2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2B2C30" w:rsidRPr="0007137E" w:rsidTr="0012729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2B2C30" w:rsidRPr="0007137E" w:rsidRDefault="002B2C30" w:rsidP="002B2C30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B2C30" w:rsidRPr="0007137E" w:rsidRDefault="002B2C30" w:rsidP="002B2C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20" w:type="dxa"/>
            <w:noWrap/>
            <w:vAlign w:val="bottom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3,164</w:t>
            </w:r>
          </w:p>
        </w:tc>
        <w:tc>
          <w:tcPr>
            <w:tcW w:w="1460" w:type="dxa"/>
            <w:noWrap/>
            <w:vAlign w:val="bottom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1060" w:type="dxa"/>
            <w:noWrap/>
            <w:vAlign w:val="bottom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176</w:t>
            </w:r>
          </w:p>
        </w:tc>
        <w:tc>
          <w:tcPr>
            <w:tcW w:w="1060" w:type="dxa"/>
            <w:noWrap/>
            <w:vAlign w:val="bottom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21,791</w:t>
            </w:r>
          </w:p>
        </w:tc>
        <w:tc>
          <w:tcPr>
            <w:tcW w:w="1220" w:type="dxa"/>
            <w:noWrap/>
            <w:vAlign w:val="bottom"/>
          </w:tcPr>
          <w:p w:rsidR="002B2C30" w:rsidRDefault="002B2C30" w:rsidP="002B2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25,169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A3959" w:rsidRDefault="008A3959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10242C" w:rsidRDefault="0010242C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Default="00D00F54" w:rsidP="00BC378D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7" w:name="_Toc118450703"/>
      <w:r w:rsidRPr="00267B92">
        <w:rPr>
          <w:rFonts w:ascii="Arial" w:hAnsi="Arial" w:cs="Arial"/>
          <w:color w:val="auto"/>
          <w:sz w:val="24"/>
          <w:szCs w:val="24"/>
        </w:rPr>
        <w:lastRenderedPageBreak/>
        <w:t>G</w:t>
      </w:r>
      <w:r w:rsidR="00D67155" w:rsidRPr="00267B92">
        <w:rPr>
          <w:rFonts w:ascii="Arial" w:hAnsi="Arial" w:cs="Arial"/>
          <w:color w:val="auto"/>
          <w:sz w:val="24"/>
          <w:szCs w:val="24"/>
        </w:rPr>
        <w:t>ráfico 1</w:t>
      </w:r>
      <w:r w:rsidR="00DD7DE7" w:rsidRPr="00267B92">
        <w:rPr>
          <w:rFonts w:ascii="Arial" w:hAnsi="Arial" w:cs="Arial"/>
          <w:color w:val="auto"/>
          <w:sz w:val="24"/>
          <w:szCs w:val="24"/>
        </w:rPr>
        <w:t>: Beneficiarios del servici</w:t>
      </w:r>
      <w:r w:rsidR="00FC226C" w:rsidRPr="00267B92">
        <w:rPr>
          <w:rFonts w:ascii="Arial" w:hAnsi="Arial" w:cs="Arial"/>
          <w:color w:val="auto"/>
          <w:sz w:val="24"/>
          <w:szCs w:val="24"/>
        </w:rPr>
        <w:t xml:space="preserve">o </w:t>
      </w:r>
      <w:r w:rsidR="00510220" w:rsidRPr="00267B92">
        <w:rPr>
          <w:rFonts w:ascii="Arial" w:hAnsi="Arial" w:cs="Arial"/>
          <w:color w:val="auto"/>
          <w:sz w:val="24"/>
          <w:szCs w:val="24"/>
        </w:rPr>
        <w:t xml:space="preserve">postal según pertenencia, </w:t>
      </w:r>
      <w:r w:rsidR="006D7592">
        <w:rPr>
          <w:rFonts w:ascii="Arial" w:hAnsi="Arial" w:cs="Arial"/>
          <w:color w:val="auto"/>
          <w:sz w:val="24"/>
          <w:szCs w:val="24"/>
        </w:rPr>
        <w:t>Octubre</w:t>
      </w:r>
      <w:r w:rsidR="00DD7DE7" w:rsidRPr="00267B92">
        <w:rPr>
          <w:rFonts w:ascii="Arial" w:hAnsi="Arial" w:cs="Arial"/>
          <w:color w:val="auto"/>
          <w:sz w:val="24"/>
          <w:szCs w:val="24"/>
        </w:rPr>
        <w:t xml:space="preserve"> 202</w:t>
      </w:r>
      <w:r w:rsidR="00401DD2" w:rsidRPr="00267B92">
        <w:rPr>
          <w:rFonts w:ascii="Arial" w:hAnsi="Arial" w:cs="Arial"/>
          <w:color w:val="auto"/>
          <w:sz w:val="24"/>
          <w:szCs w:val="24"/>
        </w:rPr>
        <w:t>2</w:t>
      </w:r>
      <w:bookmarkEnd w:id="7"/>
    </w:p>
    <w:p w:rsidR="008A3959" w:rsidRDefault="0010242C" w:rsidP="000F1623">
      <w:r>
        <w:rPr>
          <w:noProof/>
          <w:lang w:val="es-ES" w:eastAsia="es-ES"/>
        </w:rPr>
        <w:drawing>
          <wp:inline distT="0" distB="0" distL="0" distR="0" wp14:anchorId="070A0D80" wp14:editId="27C9B219">
            <wp:extent cx="6157595" cy="2233246"/>
            <wp:effectExtent l="0" t="0" r="14605" b="1524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242C" w:rsidRDefault="0010242C" w:rsidP="00267B9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827E0" w:rsidRDefault="009827E0" w:rsidP="00267B9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827E0">
        <w:rPr>
          <w:rFonts w:ascii="Arial" w:hAnsi="Arial" w:cs="Arial"/>
          <w:sz w:val="24"/>
          <w:szCs w:val="24"/>
        </w:rPr>
        <w:t>Según la encuesta</w:t>
      </w:r>
      <w:r>
        <w:rPr>
          <w:rFonts w:ascii="Arial" w:hAnsi="Arial" w:cs="Arial"/>
          <w:sz w:val="24"/>
          <w:szCs w:val="24"/>
        </w:rPr>
        <w:t xml:space="preserve"> recopilada en </w:t>
      </w:r>
      <w:r w:rsidR="0010242C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mes de </w:t>
      </w:r>
      <w:r w:rsidR="0010242C">
        <w:rPr>
          <w:rFonts w:ascii="Arial" w:hAnsi="Arial" w:cs="Arial"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 xml:space="preserve">, dirigida a los usuarios del servicio postal, indica que el </w:t>
      </w:r>
      <w:r w:rsidR="00216B4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% de los beneficiarios del servicio pertenecen al pueblo Maya, el </w:t>
      </w:r>
      <w:r w:rsidR="00216B4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% al pueblo </w:t>
      </w:r>
      <w:proofErr w:type="spellStart"/>
      <w:r>
        <w:rPr>
          <w:rFonts w:ascii="Arial" w:hAnsi="Arial" w:cs="Arial"/>
          <w:sz w:val="24"/>
          <w:szCs w:val="24"/>
        </w:rPr>
        <w:t>Xinca</w:t>
      </w:r>
      <w:proofErr w:type="spellEnd"/>
      <w:r>
        <w:rPr>
          <w:rFonts w:ascii="Arial" w:hAnsi="Arial" w:cs="Arial"/>
          <w:sz w:val="24"/>
          <w:szCs w:val="24"/>
        </w:rPr>
        <w:t>, el 2% al pueblo Garífuna, el 3% son extranjeros y el 87% al pueblo Mestizo, tal como se evidencia en la gráfica 2.</w:t>
      </w:r>
    </w:p>
    <w:p w:rsidR="00216B4D" w:rsidRDefault="00DA068F" w:rsidP="006D7592">
      <w:pPr>
        <w:pStyle w:val="Ttulo2"/>
        <w:ind w:left="426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18450704"/>
      <w:r w:rsidRPr="00DA068F">
        <w:rPr>
          <w:rFonts w:ascii="Arial" w:hAnsi="Arial" w:cs="Arial"/>
          <w:color w:val="auto"/>
          <w:sz w:val="24"/>
          <w:szCs w:val="24"/>
        </w:rPr>
        <w:t xml:space="preserve">Gráfico 2: </w:t>
      </w:r>
      <w:r w:rsidR="00216B4D" w:rsidRPr="006D7592">
        <w:rPr>
          <w:rFonts w:ascii="Arial" w:hAnsi="Arial" w:cs="Arial"/>
          <w:color w:val="auto"/>
          <w:sz w:val="24"/>
          <w:szCs w:val="24"/>
        </w:rPr>
        <w:t>Pueblo al que pertenecen los usuarios del servicio Postal</w:t>
      </w:r>
      <w:bookmarkEnd w:id="8"/>
      <w:r w:rsidR="008459D0">
        <w:rPr>
          <w:rFonts w:ascii="Arial" w:hAnsi="Arial" w:cs="Arial"/>
          <w:color w:val="auto"/>
          <w:sz w:val="24"/>
          <w:szCs w:val="24"/>
        </w:rPr>
        <w:t xml:space="preserve"> del mes de </w:t>
      </w:r>
      <w:bookmarkStart w:id="9" w:name="_Toc118450705"/>
      <w:r w:rsidR="008459D0">
        <w:rPr>
          <w:rFonts w:ascii="Arial" w:hAnsi="Arial" w:cs="Arial"/>
          <w:color w:val="auto"/>
          <w:sz w:val="24"/>
          <w:szCs w:val="24"/>
        </w:rPr>
        <w:t>o</w:t>
      </w:r>
      <w:r w:rsidR="008459D0" w:rsidRPr="006D7592">
        <w:rPr>
          <w:rFonts w:ascii="Arial" w:hAnsi="Arial" w:cs="Arial"/>
          <w:color w:val="auto"/>
          <w:sz w:val="24"/>
          <w:szCs w:val="24"/>
        </w:rPr>
        <w:t>ctubre</w:t>
      </w:r>
      <w:r w:rsidR="00216B4D" w:rsidRPr="006D7592">
        <w:rPr>
          <w:rFonts w:ascii="Arial" w:hAnsi="Arial" w:cs="Arial"/>
          <w:color w:val="auto"/>
          <w:sz w:val="24"/>
          <w:szCs w:val="24"/>
        </w:rPr>
        <w:t xml:space="preserve"> del 2022</w:t>
      </w:r>
      <w:bookmarkEnd w:id="9"/>
    </w:p>
    <w:p w:rsidR="006D7592" w:rsidRPr="006D7592" w:rsidRDefault="006D7592" w:rsidP="006D7592"/>
    <w:p w:rsidR="00DA068F" w:rsidRDefault="004C628E" w:rsidP="004C628E">
      <w:pPr>
        <w:pStyle w:val="Prrafodelista"/>
        <w:spacing w:line="360" w:lineRule="auto"/>
        <w:ind w:left="567"/>
        <w:jc w:val="center"/>
      </w:pPr>
      <w:r>
        <w:rPr>
          <w:noProof/>
          <w:lang w:val="es-ES" w:eastAsia="es-ES"/>
        </w:rPr>
        <w:drawing>
          <wp:inline distT="0" distB="0" distL="0" distR="0" wp14:anchorId="74A490ED" wp14:editId="3CBD1529">
            <wp:extent cx="3952533" cy="2101362"/>
            <wp:effectExtent l="0" t="0" r="1016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E4D38" w:rsidRDefault="001E4D38" w:rsidP="00BB0345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Las comunidades lingüísticas </w:t>
      </w:r>
      <w:r w:rsidR="00267B92">
        <w:rPr>
          <w:rFonts w:ascii="Arial" w:hAnsi="Arial" w:cs="Arial"/>
          <w:sz w:val="24"/>
          <w:szCs w:val="24"/>
        </w:rPr>
        <w:t xml:space="preserve">reflejadas en la encuesta del mes de </w:t>
      </w:r>
      <w:r w:rsidR="006D7592">
        <w:rPr>
          <w:rFonts w:ascii="Arial" w:hAnsi="Arial" w:cs="Arial"/>
          <w:sz w:val="24"/>
          <w:szCs w:val="24"/>
        </w:rPr>
        <w:t>octubre</w:t>
      </w:r>
      <w:r w:rsidR="00267B92">
        <w:rPr>
          <w:rFonts w:ascii="Arial" w:hAnsi="Arial" w:cs="Arial"/>
          <w:sz w:val="24"/>
          <w:szCs w:val="24"/>
        </w:rPr>
        <w:t>, estima que</w:t>
      </w:r>
      <w:r w:rsidR="00DA068F">
        <w:rPr>
          <w:rFonts w:ascii="Arial" w:hAnsi="Arial" w:cs="Arial"/>
          <w:sz w:val="24"/>
          <w:szCs w:val="24"/>
        </w:rPr>
        <w:t>,</w:t>
      </w:r>
      <w:r w:rsidR="00267B92">
        <w:rPr>
          <w:rFonts w:ascii="Arial" w:hAnsi="Arial" w:cs="Arial"/>
          <w:sz w:val="24"/>
          <w:szCs w:val="24"/>
        </w:rPr>
        <w:t xml:space="preserve"> según la autodeterminación </w:t>
      </w:r>
      <w:r w:rsidR="006D7592">
        <w:rPr>
          <w:rFonts w:ascii="Arial" w:hAnsi="Arial" w:cs="Arial"/>
          <w:sz w:val="24"/>
          <w:szCs w:val="24"/>
        </w:rPr>
        <w:t>de los usuarios que respondieron dicha encuesta se determina que</w:t>
      </w:r>
      <w:r w:rsidR="00267B92">
        <w:rPr>
          <w:rFonts w:ascii="Arial" w:hAnsi="Arial" w:cs="Arial"/>
          <w:sz w:val="24"/>
          <w:szCs w:val="24"/>
        </w:rPr>
        <w:t xml:space="preserve">  el </w:t>
      </w:r>
      <w:r w:rsidR="006D7592">
        <w:rPr>
          <w:rFonts w:ascii="Arial" w:hAnsi="Arial" w:cs="Arial"/>
          <w:sz w:val="24"/>
          <w:szCs w:val="24"/>
        </w:rPr>
        <w:t>9</w:t>
      </w:r>
      <w:r w:rsidR="00267B92">
        <w:rPr>
          <w:rFonts w:ascii="Arial" w:hAnsi="Arial" w:cs="Arial"/>
          <w:sz w:val="24"/>
          <w:szCs w:val="24"/>
        </w:rPr>
        <w:t xml:space="preserve">% se </w:t>
      </w:r>
      <w:proofErr w:type="spellStart"/>
      <w:r w:rsidR="00267B92">
        <w:rPr>
          <w:rFonts w:ascii="Arial" w:hAnsi="Arial" w:cs="Arial"/>
          <w:sz w:val="24"/>
          <w:szCs w:val="24"/>
        </w:rPr>
        <w:t>autoidentifica</w:t>
      </w:r>
      <w:proofErr w:type="spellEnd"/>
      <w:r w:rsidR="00267B92">
        <w:rPr>
          <w:rFonts w:ascii="Arial" w:hAnsi="Arial" w:cs="Arial"/>
          <w:sz w:val="24"/>
          <w:szCs w:val="24"/>
        </w:rPr>
        <w:t xml:space="preserve"> que pertenece a comunidad</w:t>
      </w:r>
      <w:r w:rsidR="00BB0345">
        <w:rPr>
          <w:rFonts w:ascii="Arial" w:hAnsi="Arial" w:cs="Arial"/>
          <w:sz w:val="24"/>
          <w:szCs w:val="24"/>
        </w:rPr>
        <w:t>es</w:t>
      </w:r>
      <w:r w:rsidR="00267B92">
        <w:rPr>
          <w:rFonts w:ascii="Arial" w:hAnsi="Arial" w:cs="Arial"/>
          <w:sz w:val="24"/>
          <w:szCs w:val="24"/>
        </w:rPr>
        <w:t xml:space="preserve"> lingüística</w:t>
      </w:r>
      <w:r w:rsidR="00BB0345">
        <w:rPr>
          <w:rFonts w:ascii="Arial" w:hAnsi="Arial" w:cs="Arial"/>
          <w:sz w:val="24"/>
          <w:szCs w:val="24"/>
        </w:rPr>
        <w:t>s del pueblo Maya (</w:t>
      </w:r>
      <w:proofErr w:type="spellStart"/>
      <w:r w:rsidR="006D7592">
        <w:rPr>
          <w:rFonts w:ascii="Arial" w:hAnsi="Arial" w:cs="Arial"/>
          <w:sz w:val="24"/>
          <w:szCs w:val="24"/>
        </w:rPr>
        <w:t>Kaqchiquel</w:t>
      </w:r>
      <w:proofErr w:type="spellEnd"/>
      <w:r w:rsidR="006D75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0345" w:rsidRPr="00BB0345">
        <w:rPr>
          <w:rFonts w:ascii="Arial" w:hAnsi="Arial" w:cs="Arial"/>
          <w:sz w:val="24"/>
          <w:szCs w:val="24"/>
        </w:rPr>
        <w:t>K'iche</w:t>
      </w:r>
      <w:proofErr w:type="spellEnd"/>
      <w:r w:rsidR="00BB0345" w:rsidRPr="00BB0345">
        <w:rPr>
          <w:rFonts w:ascii="Arial" w:hAnsi="Arial" w:cs="Arial"/>
          <w:sz w:val="24"/>
          <w:szCs w:val="24"/>
        </w:rPr>
        <w:t>'</w:t>
      </w:r>
      <w:r w:rsidR="00BB03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0345" w:rsidRPr="00BB0345">
        <w:rPr>
          <w:rFonts w:ascii="Arial" w:hAnsi="Arial" w:cs="Arial"/>
          <w:sz w:val="24"/>
          <w:szCs w:val="24"/>
        </w:rPr>
        <w:t>Q'eqchi</w:t>
      </w:r>
      <w:proofErr w:type="spellEnd"/>
      <w:r w:rsidR="00BB0345" w:rsidRPr="00BB0345">
        <w:rPr>
          <w:rFonts w:ascii="Arial" w:hAnsi="Arial" w:cs="Arial"/>
          <w:sz w:val="24"/>
          <w:szCs w:val="24"/>
        </w:rPr>
        <w:t>'</w:t>
      </w:r>
      <w:r w:rsidR="00BB03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7592">
        <w:rPr>
          <w:rFonts w:ascii="Arial" w:hAnsi="Arial" w:cs="Arial"/>
          <w:sz w:val="24"/>
          <w:szCs w:val="24"/>
        </w:rPr>
        <w:t>Ixil</w:t>
      </w:r>
      <w:proofErr w:type="spellEnd"/>
      <w:r w:rsidR="006D759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D7592">
        <w:rPr>
          <w:rFonts w:ascii="Arial" w:hAnsi="Arial" w:cs="Arial"/>
          <w:sz w:val="24"/>
          <w:szCs w:val="24"/>
        </w:rPr>
        <w:t>Pocomám</w:t>
      </w:r>
      <w:proofErr w:type="spellEnd"/>
      <w:r w:rsidR="006D7592">
        <w:rPr>
          <w:rFonts w:ascii="Arial" w:hAnsi="Arial" w:cs="Arial"/>
          <w:sz w:val="24"/>
          <w:szCs w:val="24"/>
        </w:rPr>
        <w:t>)</w:t>
      </w:r>
      <w:r w:rsidR="00DA068F">
        <w:rPr>
          <w:rFonts w:ascii="Arial" w:hAnsi="Arial" w:cs="Arial"/>
          <w:sz w:val="24"/>
          <w:szCs w:val="24"/>
        </w:rPr>
        <w:t>;</w:t>
      </w:r>
      <w:r w:rsidR="00BB0345">
        <w:rPr>
          <w:rFonts w:ascii="Arial" w:hAnsi="Arial" w:cs="Arial"/>
          <w:sz w:val="24"/>
          <w:szCs w:val="24"/>
        </w:rPr>
        <w:t xml:space="preserve">  el </w:t>
      </w:r>
      <w:r w:rsidR="006D7592">
        <w:rPr>
          <w:rFonts w:ascii="Arial" w:hAnsi="Arial" w:cs="Arial"/>
          <w:sz w:val="24"/>
          <w:szCs w:val="24"/>
        </w:rPr>
        <w:t>1</w:t>
      </w:r>
      <w:r w:rsidR="00BB0345">
        <w:rPr>
          <w:rFonts w:ascii="Arial" w:hAnsi="Arial" w:cs="Arial"/>
          <w:sz w:val="24"/>
          <w:szCs w:val="24"/>
        </w:rPr>
        <w:t>% indicó que pertenece a la comunidad lingüística Garífuna</w:t>
      </w:r>
      <w:r w:rsidR="006D7592">
        <w:rPr>
          <w:rFonts w:ascii="Arial" w:hAnsi="Arial" w:cs="Arial"/>
          <w:sz w:val="24"/>
          <w:szCs w:val="24"/>
        </w:rPr>
        <w:t xml:space="preserve">, el 1% a la comunidad </w:t>
      </w:r>
      <w:proofErr w:type="spellStart"/>
      <w:r w:rsidR="006D7592">
        <w:rPr>
          <w:rFonts w:ascii="Arial" w:hAnsi="Arial" w:cs="Arial"/>
          <w:sz w:val="24"/>
          <w:szCs w:val="24"/>
        </w:rPr>
        <w:t>Xinka</w:t>
      </w:r>
      <w:proofErr w:type="spellEnd"/>
      <w:r w:rsidR="006D7592">
        <w:rPr>
          <w:rFonts w:ascii="Arial" w:hAnsi="Arial" w:cs="Arial"/>
          <w:sz w:val="24"/>
          <w:szCs w:val="24"/>
        </w:rPr>
        <w:t xml:space="preserve"> y el 90</w:t>
      </w:r>
      <w:r w:rsidR="00DA068F">
        <w:rPr>
          <w:rFonts w:ascii="Arial" w:hAnsi="Arial" w:cs="Arial"/>
          <w:sz w:val="24"/>
          <w:szCs w:val="24"/>
        </w:rPr>
        <w:t xml:space="preserve">% a la comunidad lingüística Español, </w:t>
      </w:r>
      <w:r>
        <w:rPr>
          <w:rFonts w:ascii="Arial" w:hAnsi="Arial" w:cs="Arial"/>
          <w:sz w:val="24"/>
          <w:szCs w:val="24"/>
        </w:rPr>
        <w:t xml:space="preserve">tal como se </w:t>
      </w:r>
      <w:r w:rsidR="00BB0345">
        <w:rPr>
          <w:rFonts w:ascii="Arial" w:hAnsi="Arial" w:cs="Arial"/>
          <w:sz w:val="24"/>
          <w:szCs w:val="24"/>
        </w:rPr>
        <w:t xml:space="preserve">presenta </w:t>
      </w:r>
      <w:r>
        <w:rPr>
          <w:rFonts w:ascii="Arial" w:hAnsi="Arial" w:cs="Arial"/>
          <w:sz w:val="24"/>
          <w:szCs w:val="24"/>
        </w:rPr>
        <w:t xml:space="preserve"> en la gráfica </w:t>
      </w:r>
      <w:r w:rsidR="00BB03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A068F" w:rsidRPr="009827E0" w:rsidRDefault="00DA068F" w:rsidP="00BB0345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A068F" w:rsidRPr="008459D0" w:rsidRDefault="00DA068F" w:rsidP="00DA068F">
      <w:pPr>
        <w:pStyle w:val="Ttulo2"/>
        <w:ind w:left="567"/>
        <w:jc w:val="center"/>
        <w:rPr>
          <w:rFonts w:ascii="Arial" w:hAnsi="Arial" w:cs="Arial"/>
          <w:color w:val="auto"/>
          <w:sz w:val="24"/>
          <w:szCs w:val="24"/>
        </w:rPr>
      </w:pPr>
      <w:bookmarkStart w:id="10" w:name="_Toc118450706"/>
      <w:r w:rsidRPr="008459D0">
        <w:rPr>
          <w:rFonts w:ascii="Arial" w:hAnsi="Arial" w:cs="Arial"/>
          <w:color w:val="auto"/>
          <w:sz w:val="24"/>
          <w:szCs w:val="24"/>
        </w:rPr>
        <w:t xml:space="preserve">Gráfico 3: Comunidad lingüística de los beneficiarios del servicio postal del mes de </w:t>
      </w:r>
      <w:r w:rsidR="006D7592" w:rsidRPr="008459D0">
        <w:rPr>
          <w:rFonts w:ascii="Arial" w:hAnsi="Arial" w:cs="Arial"/>
          <w:color w:val="auto"/>
          <w:sz w:val="24"/>
          <w:szCs w:val="24"/>
        </w:rPr>
        <w:t>octubre</w:t>
      </w:r>
      <w:r w:rsidRPr="008459D0">
        <w:rPr>
          <w:rFonts w:ascii="Arial" w:hAnsi="Arial" w:cs="Arial"/>
          <w:color w:val="auto"/>
          <w:sz w:val="24"/>
          <w:szCs w:val="24"/>
        </w:rPr>
        <w:t xml:space="preserve"> del 2022</w:t>
      </w:r>
      <w:bookmarkEnd w:id="10"/>
    </w:p>
    <w:p w:rsidR="00DA068F" w:rsidRPr="00267B92" w:rsidRDefault="00DA068F" w:rsidP="00DA068F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</w:p>
    <w:p w:rsidR="009827E0" w:rsidRDefault="00216B4D" w:rsidP="009827E0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FA623D8" wp14:editId="59332ED8">
            <wp:extent cx="4524375" cy="2854325"/>
            <wp:effectExtent l="0" t="0" r="9525" b="317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827E0" w:rsidRDefault="009827E0" w:rsidP="009827E0">
      <w:pPr>
        <w:jc w:val="center"/>
      </w:pPr>
    </w:p>
    <w:p w:rsidR="009827E0" w:rsidRPr="00BC378D" w:rsidRDefault="009827E0" w:rsidP="009827E0">
      <w:pPr>
        <w:jc w:val="center"/>
      </w:pPr>
    </w:p>
    <w:sectPr w:rsidR="009827E0" w:rsidRPr="00BC378D" w:rsidSect="0052703B">
      <w:pgSz w:w="12240" w:h="15840" w:code="1"/>
      <w:pgMar w:top="2269" w:right="1183" w:bottom="851" w:left="1276" w:header="708" w:footer="18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8C" w:rsidRDefault="00FB478C" w:rsidP="00DD7DE7">
      <w:pPr>
        <w:spacing w:after="0" w:line="240" w:lineRule="auto"/>
      </w:pPr>
      <w:r>
        <w:separator/>
      </w:r>
    </w:p>
  </w:endnote>
  <w:endnote w:type="continuationSeparator" w:id="0">
    <w:p w:rsidR="00FB478C" w:rsidRDefault="00FB478C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4081"/>
      <w:docPartObj>
        <w:docPartGallery w:val="Page Numbers (Bottom of Page)"/>
        <w:docPartUnique/>
      </w:docPartObj>
    </w:sdtPr>
    <w:sdtEndPr/>
    <w:sdtContent>
      <w:p w:rsidR="00737148" w:rsidRDefault="0073714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C4" w:rsidRPr="00194FC4">
          <w:rPr>
            <w:noProof/>
            <w:lang w:val="es-ES"/>
          </w:rPr>
          <w:t>8</w:t>
        </w:r>
        <w:r>
          <w:fldChar w:fldCharType="end"/>
        </w:r>
      </w:p>
    </w:sdtContent>
  </w:sdt>
  <w:p w:rsidR="00737148" w:rsidRDefault="007371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8C" w:rsidRDefault="00FB478C" w:rsidP="00DD7DE7">
      <w:pPr>
        <w:spacing w:after="0" w:line="240" w:lineRule="auto"/>
      </w:pPr>
      <w:r>
        <w:separator/>
      </w:r>
    </w:p>
  </w:footnote>
  <w:footnote w:type="continuationSeparator" w:id="0">
    <w:p w:rsidR="00FB478C" w:rsidRDefault="00FB478C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8" w:rsidRDefault="007371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07136"/>
    <w:rsid w:val="00064854"/>
    <w:rsid w:val="00066747"/>
    <w:rsid w:val="0007040A"/>
    <w:rsid w:val="0007137E"/>
    <w:rsid w:val="00082059"/>
    <w:rsid w:val="000A0B96"/>
    <w:rsid w:val="000E4374"/>
    <w:rsid w:val="000F1623"/>
    <w:rsid w:val="0010242C"/>
    <w:rsid w:val="00127291"/>
    <w:rsid w:val="0016397E"/>
    <w:rsid w:val="001670EE"/>
    <w:rsid w:val="00175240"/>
    <w:rsid w:val="00194FC4"/>
    <w:rsid w:val="001A5DC0"/>
    <w:rsid w:val="001D7379"/>
    <w:rsid w:val="001E4D38"/>
    <w:rsid w:val="00216160"/>
    <w:rsid w:val="00216B4D"/>
    <w:rsid w:val="002272AF"/>
    <w:rsid w:val="00267B92"/>
    <w:rsid w:val="00291E42"/>
    <w:rsid w:val="002A1DB4"/>
    <w:rsid w:val="002B2C30"/>
    <w:rsid w:val="002B3FA4"/>
    <w:rsid w:val="002C7C76"/>
    <w:rsid w:val="002E1A12"/>
    <w:rsid w:val="00323AAE"/>
    <w:rsid w:val="00330C1F"/>
    <w:rsid w:val="00375314"/>
    <w:rsid w:val="00383D53"/>
    <w:rsid w:val="0039456A"/>
    <w:rsid w:val="003C4D77"/>
    <w:rsid w:val="003F09FA"/>
    <w:rsid w:val="00401DD2"/>
    <w:rsid w:val="00405A0D"/>
    <w:rsid w:val="00417578"/>
    <w:rsid w:val="0044247A"/>
    <w:rsid w:val="00455EDF"/>
    <w:rsid w:val="00455F1D"/>
    <w:rsid w:val="0046340B"/>
    <w:rsid w:val="0048338E"/>
    <w:rsid w:val="004A36A1"/>
    <w:rsid w:val="004B2A64"/>
    <w:rsid w:val="004C628E"/>
    <w:rsid w:val="004D5991"/>
    <w:rsid w:val="004E1BEC"/>
    <w:rsid w:val="004E61C3"/>
    <w:rsid w:val="00510220"/>
    <w:rsid w:val="0052703B"/>
    <w:rsid w:val="0054194A"/>
    <w:rsid w:val="00552E24"/>
    <w:rsid w:val="00556671"/>
    <w:rsid w:val="00581AD5"/>
    <w:rsid w:val="00586C00"/>
    <w:rsid w:val="00596A4E"/>
    <w:rsid w:val="006164AD"/>
    <w:rsid w:val="00684831"/>
    <w:rsid w:val="006B59B0"/>
    <w:rsid w:val="006C682C"/>
    <w:rsid w:val="006D49B1"/>
    <w:rsid w:val="006D70CA"/>
    <w:rsid w:val="006D7592"/>
    <w:rsid w:val="006F0109"/>
    <w:rsid w:val="007022DB"/>
    <w:rsid w:val="00703500"/>
    <w:rsid w:val="00716820"/>
    <w:rsid w:val="00717DE0"/>
    <w:rsid w:val="00737148"/>
    <w:rsid w:val="007565A4"/>
    <w:rsid w:val="00785238"/>
    <w:rsid w:val="007A4D97"/>
    <w:rsid w:val="007A5A39"/>
    <w:rsid w:val="007B1E9B"/>
    <w:rsid w:val="007E7EF2"/>
    <w:rsid w:val="00825FC9"/>
    <w:rsid w:val="008459D0"/>
    <w:rsid w:val="008956F8"/>
    <w:rsid w:val="008A3959"/>
    <w:rsid w:val="008A4B77"/>
    <w:rsid w:val="008B5E16"/>
    <w:rsid w:val="008D57AA"/>
    <w:rsid w:val="008D6C91"/>
    <w:rsid w:val="008E1F4A"/>
    <w:rsid w:val="008E2BBC"/>
    <w:rsid w:val="00927337"/>
    <w:rsid w:val="00937D0F"/>
    <w:rsid w:val="00955CDE"/>
    <w:rsid w:val="009827E0"/>
    <w:rsid w:val="0098592F"/>
    <w:rsid w:val="009F5815"/>
    <w:rsid w:val="009F68F6"/>
    <w:rsid w:val="00A02414"/>
    <w:rsid w:val="00A05FF1"/>
    <w:rsid w:val="00A21138"/>
    <w:rsid w:val="00A27CAA"/>
    <w:rsid w:val="00A30B1D"/>
    <w:rsid w:val="00A43615"/>
    <w:rsid w:val="00A6159E"/>
    <w:rsid w:val="00A72270"/>
    <w:rsid w:val="00A849A4"/>
    <w:rsid w:val="00A970B0"/>
    <w:rsid w:val="00AA0985"/>
    <w:rsid w:val="00AA34A4"/>
    <w:rsid w:val="00AC6BBF"/>
    <w:rsid w:val="00AC7B7F"/>
    <w:rsid w:val="00B02070"/>
    <w:rsid w:val="00B07E4F"/>
    <w:rsid w:val="00B10D38"/>
    <w:rsid w:val="00B217AE"/>
    <w:rsid w:val="00B26705"/>
    <w:rsid w:val="00B31617"/>
    <w:rsid w:val="00B440AE"/>
    <w:rsid w:val="00B61FC1"/>
    <w:rsid w:val="00B728BE"/>
    <w:rsid w:val="00B8384B"/>
    <w:rsid w:val="00BB0345"/>
    <w:rsid w:val="00BB2B81"/>
    <w:rsid w:val="00BC378D"/>
    <w:rsid w:val="00BD142B"/>
    <w:rsid w:val="00BE15BC"/>
    <w:rsid w:val="00C06444"/>
    <w:rsid w:val="00C21211"/>
    <w:rsid w:val="00C326B4"/>
    <w:rsid w:val="00C749FF"/>
    <w:rsid w:val="00C76B53"/>
    <w:rsid w:val="00C85518"/>
    <w:rsid w:val="00D00F54"/>
    <w:rsid w:val="00D03BDC"/>
    <w:rsid w:val="00D220BC"/>
    <w:rsid w:val="00D31DF4"/>
    <w:rsid w:val="00D54FF1"/>
    <w:rsid w:val="00D579C5"/>
    <w:rsid w:val="00D67155"/>
    <w:rsid w:val="00D7535B"/>
    <w:rsid w:val="00DA068F"/>
    <w:rsid w:val="00DA19CE"/>
    <w:rsid w:val="00DC1F65"/>
    <w:rsid w:val="00DD7DE7"/>
    <w:rsid w:val="00E56F53"/>
    <w:rsid w:val="00EA13B4"/>
    <w:rsid w:val="00F0677E"/>
    <w:rsid w:val="00F100A6"/>
    <w:rsid w:val="00F411B3"/>
    <w:rsid w:val="00F6352E"/>
    <w:rsid w:val="00F75CA4"/>
    <w:rsid w:val="00F84762"/>
    <w:rsid w:val="00F9431B"/>
    <w:rsid w:val="00F949E0"/>
    <w:rsid w:val="00FA6028"/>
    <w:rsid w:val="00FB478C"/>
    <w:rsid w:val="00FC1868"/>
    <w:rsid w:val="00FC226C"/>
    <w:rsid w:val="00FD3F21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A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customStyle="1" w:styleId="GridTable4Accent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DA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H:\Correos%202021\Henry\Metas%20f&#237;sicas\Octubre\Meses%20para%20Jaqueline\Mayo\Metas%20f&#237;sicas%20agostoulio%20para%20socioling&#252;&#237;stico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H:\Correos%202021\Henry\Metas%20f&#237;sicas\Octubre\Encuesta\20%20de%20sep%20al%204%20de%20octubr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H:\Correos%202021\Henry\Metas%20f&#237;sicas\Octubre\Encuesta\20%20de%20sep%20al%204%20de%20octub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0.12571019905439232</c:v>
                </c:pt>
                <c:pt idx="1">
                  <c:v>1.5097937939528786E-3</c:v>
                </c:pt>
                <c:pt idx="2">
                  <c:v>6.9927291509396484E-3</c:v>
                </c:pt>
                <c:pt idx="3">
                  <c:v>0.8657872780007152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085824"/>
        <c:axId val="65087360"/>
      </c:barChart>
      <c:catAx>
        <c:axId val="650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5087360"/>
        <c:crosses val="autoZero"/>
        <c:auto val="1"/>
        <c:lblAlgn val="ctr"/>
        <c:lblOffset val="100"/>
        <c:noMultiLvlLbl val="0"/>
      </c:catAx>
      <c:valAx>
        <c:axId val="6508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508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402351699521889"/>
          <c:y val="0.21612210078454605"/>
          <c:w val="0.3798114486974476"/>
          <c:h val="0.7143990500734099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5.6084652576322697E-2"/>
                  <c:y val="-2.31191274593311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9598397568724957E-2"/>
                  <c:y val="-0.125828103786445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2701754385965"/>
                      <c:h val="0.1663893801475895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9.3913523967398809E-3"/>
                  <c:y val="-3.40845806568371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840143666252248E-2"/>
                  <c:y val="0.1274981116333863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'TD oct'!$P$4:$P$7</c:f>
              <c:strCache>
                <c:ptCount val="4"/>
                <c:pt idx="0">
                  <c:v>Xinka</c:v>
                </c:pt>
                <c:pt idx="1">
                  <c:v>Mestizo/Ladino</c:v>
                </c:pt>
                <c:pt idx="2">
                  <c:v>Maya</c:v>
                </c:pt>
                <c:pt idx="3">
                  <c:v>Extranjero</c:v>
                </c:pt>
              </c:strCache>
            </c:strRef>
          </c:cat>
          <c:val>
            <c:numRef>
              <c:f>'TD oct'!$Q$4:$Q$7</c:f>
              <c:numCache>
                <c:formatCode>0%</c:formatCode>
                <c:ptCount val="4"/>
                <c:pt idx="0">
                  <c:v>6.6225165562913907E-3</c:v>
                </c:pt>
                <c:pt idx="1">
                  <c:v>0.89403973509933776</c:v>
                </c:pt>
                <c:pt idx="2">
                  <c:v>9.2715231788079472E-2</c:v>
                </c:pt>
                <c:pt idx="3">
                  <c:v>6.6225165562913907E-3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72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755120873048768"/>
          <c:y val="0.30292170653306821"/>
          <c:w val="0.39425445503522588"/>
          <c:h val="0.6249305877922101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0668600635446886E-2"/>
                  <c:y val="0.3006546206195860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758613068103329"/>
                  <c:y val="4.657493452917940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4847829810747341"/>
                  <c:y val="-0.1680751140812626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60831606575494E-2"/>
                  <c:y val="-0.1578716509157156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117861583091585E-2"/>
                  <c:y val="-8.75793751587503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302389832849843E-2"/>
                  <c:y val="-5.59004318008636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519878436248099E-2"/>
                  <c:y val="2.5180033808343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5263157894733"/>
                      <c:h val="0.115684093437152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2.5014283740848183E-2"/>
                  <c:y val="0.12943200231228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6076861444950961E-2"/>
                  <c:y val="0.204464453066837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'TD oct'!$P$23:$P$31</c:f>
              <c:strCache>
                <c:ptCount val="9"/>
                <c:pt idx="0">
                  <c:v>Achi</c:v>
                </c:pt>
                <c:pt idx="1">
                  <c:v>Español</c:v>
                </c:pt>
                <c:pt idx="2">
                  <c:v>Garífuna</c:v>
                </c:pt>
                <c:pt idx="3">
                  <c:v>Ixil</c:v>
                </c:pt>
                <c:pt idx="4">
                  <c:v>Kaqchikel</c:v>
                </c:pt>
                <c:pt idx="5">
                  <c:v>K'iche'</c:v>
                </c:pt>
                <c:pt idx="6">
                  <c:v>Poqomam</c:v>
                </c:pt>
                <c:pt idx="7">
                  <c:v>Q'eqchi'</c:v>
                </c:pt>
                <c:pt idx="8">
                  <c:v>Xinka</c:v>
                </c:pt>
              </c:strCache>
            </c:strRef>
          </c:cat>
          <c:val>
            <c:numRef>
              <c:f>'TD oct'!$Q$23:$Q$31</c:f>
              <c:numCache>
                <c:formatCode>0%</c:formatCode>
                <c:ptCount val="9"/>
                <c:pt idx="0">
                  <c:v>6.6225165562913907E-3</c:v>
                </c:pt>
                <c:pt idx="1">
                  <c:v>0.90066225165562919</c:v>
                </c:pt>
                <c:pt idx="2">
                  <c:v>6.6225165562913907E-3</c:v>
                </c:pt>
                <c:pt idx="3">
                  <c:v>6.6225165562913907E-3</c:v>
                </c:pt>
                <c:pt idx="4">
                  <c:v>3.3112582781456956E-2</c:v>
                </c:pt>
                <c:pt idx="5">
                  <c:v>2.6490066225165563E-2</c:v>
                </c:pt>
                <c:pt idx="6">
                  <c:v>6.6225165562913907E-3</c:v>
                </c:pt>
                <c:pt idx="7">
                  <c:v>6.6225165562913907E-3</c:v>
                </c:pt>
                <c:pt idx="8">
                  <c:v>6.6225165562913907E-3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2511-C010-4211-8F0B-6EDE514A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10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Jaqueline Esther Silva Contreras</cp:lastModifiedBy>
  <cp:revision>67</cp:revision>
  <cp:lastPrinted>2022-11-04T22:00:00Z</cp:lastPrinted>
  <dcterms:created xsi:type="dcterms:W3CDTF">2022-02-02T16:47:00Z</dcterms:created>
  <dcterms:modified xsi:type="dcterms:W3CDTF">2022-11-04T22:00:00Z</dcterms:modified>
</cp:coreProperties>
</file>